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74152" w14:textId="77777777" w:rsidR="00AC04B8" w:rsidRPr="00AC04B8" w:rsidRDefault="00AC04B8" w:rsidP="00AC04B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</w:t>
      </w:r>
    </w:p>
    <w:p w14:paraId="1291C9D9" w14:textId="77777777" w:rsidR="00AC04B8" w:rsidRPr="00AC04B8" w:rsidRDefault="00AC04B8" w:rsidP="00AC04B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</w:t>
      </w: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ТАЛИНСКОГО МУНИЦИПАЛЬНОГО ОКРУГА</w:t>
      </w:r>
    </w:p>
    <w:p w14:paraId="7DF94266" w14:textId="77777777" w:rsidR="00AC04B8" w:rsidRP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5E754893" w14:textId="77777777" w:rsidR="00AC04B8" w:rsidRP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E239D" w14:textId="77777777" w:rsidR="00AC04B8" w:rsidRP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5933AD" w14:textId="69D43F40" w:rsid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.08.2026 года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219</w:t>
      </w:r>
    </w:p>
    <w:p w14:paraId="0E8B669A" w14:textId="0A2E3A23" w:rsid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79029E" w14:textId="77777777" w:rsidR="00AC04B8" w:rsidRPr="00AC04B8" w:rsidRDefault="00AC04B8" w:rsidP="00AC04B8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717B13" w14:textId="21A200B8" w:rsidR="0005156C" w:rsidRDefault="0005156C" w:rsidP="00C14D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56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3A04A6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="003A04A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Порядка формирования</w:t>
      </w:r>
      <w:r w:rsidR="003A04A6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056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перечня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="003A0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04A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A0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="00D056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="003A04A6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EB5652">
        <w:rPr>
          <w:rFonts w:ascii="Times New Roman" w:hAnsi="Times New Roman" w:cs="Times New Roman"/>
          <w:sz w:val="28"/>
          <w:szCs w:val="28"/>
        </w:rPr>
        <w:t>Карталинского</w:t>
      </w:r>
      <w:r w:rsidR="00D056AE">
        <w:rPr>
          <w:rFonts w:ascii="Times New Roman" w:hAnsi="Times New Roman" w:cs="Times New Roman"/>
          <w:sz w:val="28"/>
          <w:szCs w:val="28"/>
        </w:rPr>
        <w:t xml:space="preserve"> </w:t>
      </w:r>
      <w:r w:rsidR="00EB565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056AE">
        <w:rPr>
          <w:rFonts w:ascii="Times New Roman" w:hAnsi="Times New Roman" w:cs="Times New Roman"/>
          <w:sz w:val="28"/>
          <w:szCs w:val="28"/>
        </w:rPr>
        <w:t xml:space="preserve"> </w:t>
      </w:r>
      <w:r w:rsidR="00EB5652"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6CD094F5" w14:textId="77777777" w:rsidR="0005156C" w:rsidRDefault="0005156C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70FECE" w14:textId="77777777" w:rsidR="0005156C" w:rsidRDefault="0005156C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54F52" w14:textId="77777777" w:rsidR="00D056AE" w:rsidRDefault="00D80197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5B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0235BF">
          <w:rPr>
            <w:rFonts w:ascii="Times New Roman" w:hAnsi="Times New Roman" w:cs="Times New Roman"/>
            <w:sz w:val="28"/>
            <w:szCs w:val="28"/>
          </w:rPr>
          <w:t>статьей 174.3</w:t>
        </w:r>
      </w:hyperlink>
      <w:r w:rsidRPr="000235BF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8" w:history="1">
        <w:r w:rsidR="00D056AE">
          <w:rPr>
            <w:rFonts w:ascii="Times New Roman" w:hAnsi="Times New Roman" w:cs="Times New Roman"/>
            <w:sz w:val="28"/>
            <w:szCs w:val="28"/>
          </w:rPr>
          <w:t>П</w:t>
        </w:r>
        <w:r w:rsidRPr="000235BF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0235B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 июня 2019 г</w:t>
      </w:r>
      <w:r w:rsidR="00D056AE">
        <w:rPr>
          <w:rFonts w:ascii="Times New Roman" w:hAnsi="Times New Roman" w:cs="Times New Roman"/>
          <w:sz w:val="28"/>
          <w:szCs w:val="28"/>
        </w:rPr>
        <w:t>ода № 796 «</w:t>
      </w:r>
      <w:r w:rsidRPr="000235BF">
        <w:rPr>
          <w:rFonts w:ascii="Times New Roman" w:hAnsi="Times New Roman" w:cs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D056AE">
        <w:rPr>
          <w:rFonts w:ascii="Times New Roman" w:hAnsi="Times New Roman" w:cs="Times New Roman"/>
          <w:sz w:val="28"/>
          <w:szCs w:val="28"/>
        </w:rPr>
        <w:t>»,</w:t>
      </w:r>
    </w:p>
    <w:p w14:paraId="2F8718F5" w14:textId="2735C76B" w:rsidR="00D80197" w:rsidRPr="000235BF" w:rsidRDefault="00D056AE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863AE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EB5652">
        <w:rPr>
          <w:rFonts w:ascii="Times New Roman" w:hAnsi="Times New Roman" w:cs="Times New Roman"/>
          <w:sz w:val="28"/>
          <w:szCs w:val="28"/>
        </w:rPr>
        <w:t>Карталинского муниципального округа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197" w:rsidRPr="000235BF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7838EE54" w14:textId="5F51FE2B" w:rsidR="00EB5652" w:rsidRDefault="00D80197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10B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0" w:history="1">
        <w:r w:rsidRPr="00DF110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DF110B">
        <w:rPr>
          <w:rFonts w:ascii="Times New Roman" w:hAnsi="Times New Roman" w:cs="Times New Roman"/>
          <w:sz w:val="28"/>
          <w:szCs w:val="28"/>
        </w:rPr>
        <w:t xml:space="preserve"> </w:t>
      </w:r>
      <w:r w:rsidR="0005156C" w:rsidRPr="00DF110B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и оценки налоговых расходов </w:t>
      </w:r>
      <w:r w:rsidR="00EB5652">
        <w:rPr>
          <w:rFonts w:ascii="Times New Roman" w:hAnsi="Times New Roman" w:cs="Times New Roman"/>
          <w:sz w:val="28"/>
          <w:szCs w:val="28"/>
        </w:rPr>
        <w:t>Карталинского муниципального округа Челябинской области.</w:t>
      </w:r>
    </w:p>
    <w:p w14:paraId="04BFAA9B" w14:textId="350F8951" w:rsidR="00403932" w:rsidRDefault="00D80197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10B">
        <w:rPr>
          <w:rFonts w:ascii="Times New Roman" w:hAnsi="Times New Roman" w:cs="Times New Roman"/>
          <w:sz w:val="28"/>
          <w:szCs w:val="28"/>
        </w:rPr>
        <w:t xml:space="preserve">2. </w:t>
      </w:r>
      <w:r w:rsidR="00403932">
        <w:rPr>
          <w:rFonts w:ascii="Times New Roman" w:hAnsi="Times New Roman" w:cs="Times New Roman"/>
          <w:sz w:val="28"/>
          <w:szCs w:val="28"/>
        </w:rPr>
        <w:t>Постановление администрации Карталинского муниципального района от 30.12.2013 года № 2404 «Об утверждении порядка проведения анализа предоставленных и планируемых к предоставлению льгот по местным налогам» признать утратившим силу.</w:t>
      </w:r>
    </w:p>
    <w:p w14:paraId="5D1C51A9" w14:textId="5DA3C0D8" w:rsidR="00D80197" w:rsidRPr="00DF110B" w:rsidRDefault="00403932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80197" w:rsidRPr="00DF110B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3D3ED1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Карталинского муниципального округа Челябинской области.</w:t>
      </w:r>
    </w:p>
    <w:p w14:paraId="407FE982" w14:textId="77777777" w:rsidR="005863AE" w:rsidRDefault="005863AE" w:rsidP="00D05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FD255B" w14:textId="77777777" w:rsidR="005B6B82" w:rsidRDefault="005B6B82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E2E9B" w14:textId="3013A592" w:rsidR="003D3ED1" w:rsidRDefault="005863AE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03932">
        <w:rPr>
          <w:rFonts w:ascii="Times New Roman" w:hAnsi="Times New Roman" w:cs="Times New Roman"/>
          <w:sz w:val="28"/>
          <w:szCs w:val="28"/>
        </w:rPr>
        <w:t xml:space="preserve">    </w:t>
      </w:r>
      <w:r w:rsidR="00EB5652"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29B8B8D2" w14:textId="77777777" w:rsidR="003D3ED1" w:rsidRDefault="00EB5652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0E0C856D" w14:textId="01A2F213" w:rsidR="00D80197" w:rsidRPr="00D80197" w:rsidRDefault="003D3ED1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Челябинской области                             </w:t>
      </w:r>
      <w:r w:rsidR="00F817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B5652">
        <w:rPr>
          <w:rFonts w:ascii="Times New Roman" w:hAnsi="Times New Roman" w:cs="Times New Roman"/>
          <w:sz w:val="28"/>
          <w:szCs w:val="28"/>
        </w:rPr>
        <w:t xml:space="preserve">                                           А.Г. Вдовин</w:t>
      </w:r>
    </w:p>
    <w:p w14:paraId="1167641E" w14:textId="77777777" w:rsidR="00D80197" w:rsidRPr="00D80197" w:rsidRDefault="00D80197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88B3F" w14:textId="77777777" w:rsidR="00D80197" w:rsidRDefault="00D80197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6C7E7" w14:textId="77777777" w:rsidR="00B2077F" w:rsidRDefault="00B2077F" w:rsidP="00D056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458322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C7A5E2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A07CDC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0FA54E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3D04A58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00B76D" w14:textId="77777777" w:rsidR="00AC04B8" w:rsidRDefault="00AC04B8" w:rsidP="00AC04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248C31" w14:textId="78C0EAE8" w:rsidR="008D0C86" w:rsidRDefault="00823C19" w:rsidP="00AC04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3C1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</w:t>
      </w:r>
      <w:r w:rsidR="00AC04B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8D0C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</w:t>
      </w:r>
    </w:p>
    <w:p w14:paraId="2D2326E4" w14:textId="77777777" w:rsidR="008D0C86" w:rsidRDefault="008D0C86" w:rsidP="008D0C86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14:paraId="3897D2AB" w14:textId="77777777" w:rsidR="008D0C86" w:rsidRDefault="008D0C86" w:rsidP="008D0C86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Карталинского муниципального округа</w:t>
      </w:r>
    </w:p>
    <w:p w14:paraId="3379BBCB" w14:textId="77777777" w:rsidR="008D0C86" w:rsidRDefault="008D0C86" w:rsidP="008D0C86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Челябинской области</w:t>
      </w:r>
    </w:p>
    <w:p w14:paraId="60263422" w14:textId="468539A8" w:rsidR="008D0C86" w:rsidRDefault="008D0C86" w:rsidP="008D0C86">
      <w:pPr>
        <w:tabs>
          <w:tab w:val="left" w:pos="3686"/>
        </w:tabs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DF0F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28.08.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 года № </w:t>
      </w:r>
      <w:r w:rsidR="00DF0F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1219</w:t>
      </w:r>
    </w:p>
    <w:p w14:paraId="34AAF0F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EA194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D9915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A88AF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Par30"/>
      <w:bookmarkEnd w:id="0"/>
      <w:r>
        <w:rPr>
          <w:rFonts w:ascii="Times New Roman" w:eastAsia="Calibri" w:hAnsi="Times New Roman" w:cs="Times New Roman"/>
          <w:sz w:val="28"/>
          <w:szCs w:val="28"/>
        </w:rPr>
        <w:t>Порядок</w:t>
      </w:r>
    </w:p>
    <w:p w14:paraId="00F544A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формирования перечня налоговых </w:t>
      </w:r>
    </w:p>
    <w:p w14:paraId="11B989F8" w14:textId="5C566E69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расходов и оценки налоговых расходов </w:t>
      </w:r>
    </w:p>
    <w:p w14:paraId="6AA55EDE" w14:textId="77777777" w:rsidR="00581F39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Карталинского муниципального </w:t>
      </w:r>
    </w:p>
    <w:p w14:paraId="026903FA" w14:textId="653551AC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округа Челябинской области</w:t>
      </w:r>
    </w:p>
    <w:p w14:paraId="11CA471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15285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EB8DE20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14:paraId="152E79FF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0AF598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C8669" w14:textId="7CDB125A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Настоящий Порядок формирования перечня налоговых расходов                     и оценки налоговых расходов Карталинского муниципального округа Челябинской области (далее именуется - Порядок) разработан в соответствии со </w:t>
      </w:r>
      <w:hyperlink r:id="rId9" w:history="1">
        <w:r w:rsidRPr="00581F39">
          <w:rPr>
            <w:rStyle w:val="a5"/>
            <w:rFonts w:ascii="Times New Roman" w:eastAsia="Calibri" w:hAnsi="Times New Roman" w:cs="Times New Roman"/>
            <w:sz w:val="28"/>
            <w:szCs w:val="28"/>
            <w:u w:val="none"/>
          </w:rPr>
          <w:t>статьей 174.3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Бюджетного кодекса Российской Федерации                                             и </w:t>
      </w:r>
      <w:hyperlink r:id="rId10" w:history="1">
        <w:r w:rsidRPr="00581F39">
          <w:rPr>
            <w:rStyle w:val="a5"/>
            <w:rFonts w:ascii="Times New Roman" w:eastAsia="Calibri" w:hAnsi="Times New Roman" w:cs="Times New Roman"/>
            <w:sz w:val="28"/>
            <w:szCs w:val="28"/>
            <w:u w:val="none"/>
          </w:rPr>
          <w:t>Постановлением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образований».</w:t>
      </w:r>
    </w:p>
    <w:p w14:paraId="323D3AD8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Настоящий Порядок определяет правила формирования информации о нормативных, целевых и фискальных характеристиках налоговых расходов Карталинского муниципального округа Челябинской области (далее именуется - муниципальный округ) и порядок обобщения результатов оценки эффективности налоговых расходов муниципального округа, осуществляемой кураторами налоговых расходов.</w:t>
      </w:r>
    </w:p>
    <w:p w14:paraId="72073BF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Понятия, используемые в настоящем Порядке, означают следующее:</w:t>
      </w:r>
    </w:p>
    <w:p w14:paraId="1A958313" w14:textId="1D3F0A45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куратор налогового расхода - орган местного самоуправления муниципального округа, отраслевые (функциональные) органы администрации муниципального округа, ответственные в соответствии с полномочиями, установленными муниципальными правовыми актами муниципального округа, за достижение соответствующих налоговому расходу целей муниципальной программы и (или) целей социально-экономической политики муниципального округа, не относящихся к муниципальным программам;</w:t>
      </w:r>
    </w:p>
    <w:p w14:paraId="74D236DB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нормативные характеристики налоговых расходов – сведения                           о положениях муниципальных правовых актов муниципального округа,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льготы, а также иные характеристики, предусмотренные муниципальными правовыми актами муниципального округа;</w:t>
      </w:r>
    </w:p>
    <w:p w14:paraId="3F8F704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оценка налоговых расходов -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расходов;</w:t>
      </w:r>
    </w:p>
    <w:p w14:paraId="7CD37CC1" w14:textId="1CFA9456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оценка объемов налоговых расходов - определение объемов выпадающих доходов бюджета Карталинского муниципального округа (далее именуется</w:t>
      </w:r>
      <w:r w:rsidR="003A04A6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>местный бюджет), обусловленных льготами, предоставленными плательщикам;</w:t>
      </w:r>
    </w:p>
    <w:p w14:paraId="5865E8F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 оценка эффективности налоговых расходов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муниципального округа;</w:t>
      </w:r>
    </w:p>
    <w:p w14:paraId="58A6C7C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6) перечень налоговых расходов - документ, содержащий сведения                          о распределении налоговых расходов муниципального округа в соответствии с целями муниципальных программ и (или) целями социально-экономической политики муниципального округа, не относящимися к муниципальным программам, а также о кураторах налоговых расходов;</w:t>
      </w:r>
    </w:p>
    <w:p w14:paraId="114A45A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7) плательщики - плательщики налогов;</w:t>
      </w:r>
    </w:p>
    <w:p w14:paraId="695DF76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8) социальные налоговые расходы - целевая категория налоговых расходов муниципального округа, обусловленных необходимостью обеспечения социальной защиты (поддержки)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укрепления здоровья человека, развития физической культуры и спорта, экологического                                 и санитарно-эпидемиологического благополучия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4E8C996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9) стимулирующие налоговые расходы - целевая категория налоговых расходов муниципального округа, предполагающих стимулирование экономической активности субъектов предпринимательской деятельности                       и последующее увеличение доходов местного бюджета;</w:t>
      </w:r>
    </w:p>
    <w:p w14:paraId="018A6EE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10) технические налоговые расходы - целевая категория налоговых расходов муниципального округа,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местного бюджета;</w:t>
      </w:r>
    </w:p>
    <w:p w14:paraId="36CDBE4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11) фискальные характеристики налоговых расходов - сведения об объеме льгот, предоставленных плательщикам, о численности получателей льгот и об объёме налогов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задекларированных ими для уплаты в местный бюджет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0A922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12) целевые характеристики налогового расхода 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 муниципального округа.</w:t>
      </w:r>
    </w:p>
    <w:p w14:paraId="4694A81F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Отнесение налоговых расходов муниципального округа                                      к муниципальным программам осуществляется исходя из целей муниципальных программ и (или) целей социально-экономической политики муниципального округа, не относящихся к муниципальным программам.</w:t>
      </w:r>
    </w:p>
    <w:p w14:paraId="50028693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868F07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E368C6" w14:textId="77777777" w:rsidR="00581F39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II. Порядок формирования </w:t>
      </w:r>
    </w:p>
    <w:p w14:paraId="5007ED0D" w14:textId="01375DBC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налоговых расходов</w:t>
      </w:r>
    </w:p>
    <w:p w14:paraId="5B1DFDB0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9A2D58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CA4BBB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Проект перечня налоговых расходов муниципального округа на очередной финансовый год и плановый период (далее именуется - проект перечня налоговых расходов) формируется Финансовым управлением Карталинского муниципального округа Челябинской области (далее именуется - Финансовое управление) до 1 апреля и направляется на согласование кураторам налоговых расходов.</w:t>
      </w:r>
    </w:p>
    <w:p w14:paraId="14C818B5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Кураторы налоговых расходов до 10 апреля рассматривают проект перечня налоговых расходов и направляют в Финансовое управление замечания и предложения по уточнению проекта перечня налоговых расходов.</w:t>
      </w:r>
    </w:p>
    <w:p w14:paraId="5B688E13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                         в Финансовое управление в течение срока, указанного в </w:t>
      </w:r>
      <w:hyperlink r:id="rId11" w:anchor="/document/72358002/entry/1004" w:history="1">
        <w:r w:rsidRPr="003A04A6">
          <w:rPr>
            <w:rStyle w:val="a5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абзаце первом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пункта.</w:t>
      </w:r>
    </w:p>
    <w:p w14:paraId="551F6331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замечания и предложения не направлены в Финансовое управление в установленный срок проект перечня налоговых расходов считается согласованным.</w:t>
      </w:r>
    </w:p>
    <w:p w14:paraId="302D250B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Перечень налоговых расходов муниципального округа с внесенными                    в него изменениями формируется до 1 октября и до 15 декабря (в случае внесения изменений в муниципальные правовые акты муниципального округа             в части предоставления налоговых льгот).</w:t>
      </w:r>
    </w:p>
    <w:p w14:paraId="4EF2F375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2AEE3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C1D13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III. Порядок проведения </w:t>
      </w:r>
    </w:p>
    <w:p w14:paraId="28E416E1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налоговых расходов</w:t>
      </w:r>
    </w:p>
    <w:p w14:paraId="514E7953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138D9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EB28D" w14:textId="7A5AC956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 В целях оценки налоговых расходов муниципального округа Межрайонная инспекция Федеральной налоговой службы №</w:t>
      </w:r>
      <w:r w:rsidR="003A0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22 по Челябинской области (далее именуется</w:t>
      </w:r>
      <w:r w:rsidR="003A04A6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>Межрайонная ИФНС России №</w:t>
      </w:r>
      <w:r w:rsidR="003A04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22 по Челябинской области) представляет (по согласованию) в Финансовое управление информацию о фискальных характеристиках налоговых расходов муниципального округа за отчетный финансовый год, а также информацию о стимулирующих налоговых расходах муниципального округа за 6 лет, предшествующих отчетному финансовому году, по перечню согласно приложению к настоящему Порядку.</w:t>
      </w:r>
    </w:p>
    <w:p w14:paraId="40549D4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 В целях проведения оценки эффективности налоговых расходов:</w:t>
      </w:r>
    </w:p>
    <w:p w14:paraId="092235F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54"/>
      <w:bookmarkEnd w:id="1"/>
      <w:r>
        <w:rPr>
          <w:rFonts w:ascii="Times New Roman" w:eastAsia="Calibri" w:hAnsi="Times New Roman" w:cs="Times New Roman"/>
          <w:sz w:val="28"/>
          <w:szCs w:val="28"/>
        </w:rPr>
        <w:t>1) Межрайонная ИФНС России № 22 по Челябинской области (по согласованию) ежегодно, в срок до 15 июля, направляет в Финансовое управление сведения за год, предшествующий отчетному году, а также в случае необходимости уточненные данные за иные отчетные периоды, содержащие:</w:t>
      </w:r>
    </w:p>
    <w:p w14:paraId="007BF1D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сведения о количестве плательщиков, воспользовавшихся льготами;</w:t>
      </w:r>
    </w:p>
    <w:p w14:paraId="2DF85FD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сведения о суммах выпадающих доходов местного бюджета по каждому налоговому расходу;</w:t>
      </w:r>
    </w:p>
    <w:p w14:paraId="2C810263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Финансовое управление в срок не позднее 3 рабочих дней со дня получения сведений, указанных в </w:t>
      </w:r>
      <w:hyperlink r:id="rId12" w:anchor="Par54" w:history="1">
        <w:r w:rsidRPr="003A04A6">
          <w:rPr>
            <w:rStyle w:val="a5"/>
            <w:rFonts w:ascii="Times New Roman" w:eastAsia="Calibri" w:hAnsi="Times New Roman" w:cs="Times New Roman"/>
            <w:sz w:val="28"/>
            <w:szCs w:val="28"/>
            <w:u w:val="none"/>
          </w:rPr>
          <w:t xml:space="preserve">подпункте </w:t>
        </w:r>
      </w:hyperlink>
      <w:r>
        <w:rPr>
          <w:rFonts w:ascii="Times New Roman" w:eastAsia="Calibri" w:hAnsi="Times New Roman" w:cs="Times New Roman"/>
          <w:sz w:val="28"/>
          <w:szCs w:val="28"/>
        </w:rPr>
        <w:t>1 настоящего пункта, направляет указанные сведения кураторам налоговых расходов.</w:t>
      </w:r>
    </w:p>
    <w:p w14:paraId="6C45620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10. Оценка эффективности налоговых расходов муниципального округа осуществляется кураторами налоговых расходов и включает:</w:t>
      </w:r>
    </w:p>
    <w:p w14:paraId="3CCF52E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оценку целесообразности налоговых расходов муниципального округа;</w:t>
      </w:r>
    </w:p>
    <w:p w14:paraId="78ABE60B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оценку результативности налоговых расходов муниципального округа.</w:t>
      </w:r>
    </w:p>
    <w:p w14:paraId="75A51F7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65"/>
      <w:bookmarkEnd w:id="2"/>
      <w:r>
        <w:rPr>
          <w:rFonts w:ascii="Times New Roman" w:eastAsia="Calibri" w:hAnsi="Times New Roman" w:cs="Times New Roman"/>
          <w:sz w:val="28"/>
          <w:szCs w:val="28"/>
        </w:rPr>
        <w:t>11. Критериями целесообразности налоговых расходов муниципального округа являются:</w:t>
      </w:r>
    </w:p>
    <w:p w14:paraId="5AB41E2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соответствие налоговых расходов целям муниципальных программ                      и (или) целям социально-экономической политики муниципального округа, не относящимся к муниципальным программам;</w:t>
      </w:r>
    </w:p>
    <w:p w14:paraId="4AF65C0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обладающих потенциальным правом на применение льготы, или общей численности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плательщиков,   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за 5-летний период.</w:t>
      </w:r>
    </w:p>
    <w:p w14:paraId="6835041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14:paraId="54EA726B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12. В качестве критерия результативности налогового расхода определяется как минимум один показатель (индикатор) достижения целей муниципальной программы и (или) целей социально-экономической политики муниципального округа, не относящихся к муниципальным программам, либо иной показатель (индикатор), на значение которого оказывают влияние налоговые расходы муниципального округа.</w:t>
      </w:r>
    </w:p>
    <w:p w14:paraId="4134561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Оценке подлежит вклад предусмотренных для плательщиков льгот                      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округа,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0FD703A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13. В целях оценки бюджетной эффективности налоговых расходов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социально-экономической политики, не относящихся к муниципальным программам.</w:t>
      </w:r>
      <w:bookmarkStart w:id="3" w:name="Par74"/>
      <w:bookmarkEnd w:id="3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B2DA1B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 необходимости куратором налогового расхода могут быть установлены дополнительные критерии оценки результативности налогового расхода муниципального округа.</w:t>
      </w:r>
    </w:p>
    <w:p w14:paraId="5666148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14. 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и (или) целей социально                       -экономической политики муниципального округа, не относящихся                              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политики муниципального округа, не относящихся к муниципальным программам, на 1 рубль налоговых расходов муниципального округа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14:paraId="252D526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качестве альтернативных механизмов достижения целей муниципальной программы и (или) целей социально-экономической политики муниципального округа, не относящихся к муниципальным программам, могут учитываются в том числе:</w:t>
      </w:r>
    </w:p>
    <w:p w14:paraId="56BF4CCD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14:paraId="03F2395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предоставление муниципальных гарантий по обязательствам плательщиков, имеющих право на льготы.</w:t>
      </w:r>
    </w:p>
    <w:p w14:paraId="7E8E11B8" w14:textId="77777777" w:rsidR="008D0C86" w:rsidRDefault="008D0C86" w:rsidP="003A04A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3) 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2B4AC79E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 Оценку результативности налоговых расходов муниципального округа допускается не проводить в отношении:</w:t>
      </w:r>
    </w:p>
    <w:p w14:paraId="6ED8B0F7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технических налоговых расходов муниципального округа;</w:t>
      </w:r>
    </w:p>
    <w:p w14:paraId="0A09F942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налоговых расходов муниципального округа, по которым на момент проведения оценки эффективности налоговых расходов муниципального округа отсутствуют фискальные характеристики;</w:t>
      </w:r>
    </w:p>
    <w:p w14:paraId="3BAC0077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налоговых расходов муниципального округа, обусловленных льготами, срок действия которых составляет менее одного года.</w:t>
      </w:r>
    </w:p>
    <w:p w14:paraId="509AA481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 Оценку востребованности плательщиками предоставленных льгот допускается не проводить в отношении:</w:t>
      </w:r>
    </w:p>
    <w:p w14:paraId="57A5C972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льгот, обусловливающих налоговые расходы муниципального округа, по которым на момент проведения оценки эффективности налоговых расходов муниципального округа отсутствуют фискальные характеристики;</w:t>
      </w:r>
    </w:p>
    <w:p w14:paraId="0E2DF96D" w14:textId="77777777" w:rsidR="008D0C86" w:rsidRDefault="008D0C86" w:rsidP="008D0C8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налоговых расходов муниципального округа, обусловленных льготами, срок действия которых составляет менее одного года.</w:t>
      </w:r>
    </w:p>
    <w:p w14:paraId="14C68A5D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17. По итогам оценки эффективности налогового расхода муниципального округа кураторы налоговых расходов формулируют выводы о:</w:t>
      </w:r>
    </w:p>
    <w:p w14:paraId="1FB6DB5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достижении целевых характеристик налогового расхода муниципального округа;</w:t>
      </w:r>
    </w:p>
    <w:p w14:paraId="450A66D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вкладе налогового расхода муниципального округа в достижение целей муниципальной программы и (или) целей социально-экономической политики муниципального округа, не относящихся к муниципальным программам.</w:t>
      </w:r>
    </w:p>
    <w:p w14:paraId="3B18EB3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18. Кураторы налоговых расходов ежегодно, в срок до 1 августа, представляют в Финансовое управление аналитическую записку с результатами оценки налоговых расходов по перечню согласно приложению, к настоящему Порядку.</w:t>
      </w:r>
    </w:p>
    <w:p w14:paraId="4604D9B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19. Финансовое управление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обобщение сведений аналитических записок кураторов налоговых расходов о результатах оценки налоговых расходов муниципального округа, в том числе с учетом предложений о сохранении (уточнении, отмене) льгот для плательщиков, представленных кураторами налоговых расходов,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формирует сводную аналитическую записку о результатах оценки налоговых расходов муниципального округа и направляет Главе Карталинского муниципального округа Челябинской области в срок до 1 октября текущего года. </w:t>
      </w:r>
    </w:p>
    <w:p w14:paraId="43217D4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Результаты рассмотрения оценки налоговых расходов муниципального округа учитываются при формировании основных направлений бюджетной                           и налоговой политики муниципального округа,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а также при проведении оценки эффективности реализации муниципальных программ.</w:t>
      </w:r>
    </w:p>
    <w:p w14:paraId="76CEE16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9AB295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365E4D38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5AC529F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58E8EE8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B12C70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1A69E3D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6B56342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651A8FFB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471280CD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2BE4128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67A7F858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31EF3B5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41C507C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3EC7F81E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188671CA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8C8128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2E7B64BD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4ED47A3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48610B0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4DF1328F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392D6D1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1EBE0C34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BE6F75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66AC87C5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8099052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734F8AD7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6A2B2ED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59279930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14:paraId="03E17A72" w14:textId="15B1982C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14:paraId="7C230DC6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Порядку формирования перечня налоговых расходов и оценки налоговых расходов Карталинского муниципального округа Челябинской области</w:t>
      </w:r>
    </w:p>
    <w:p w14:paraId="67D4652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389B1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A2EE71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A22F28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4" w:name="Par130"/>
      <w:bookmarkEnd w:id="4"/>
      <w:r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14:paraId="41F7DDA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показателей для проведения оценки</w:t>
      </w:r>
    </w:p>
    <w:p w14:paraId="5CFF64D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налоговых расходов муниципального округа</w:t>
      </w:r>
    </w:p>
    <w:p w14:paraId="4CCCCB7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</w:p>
    <w:p w14:paraId="67A6B759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D4BBBC" w14:textId="77777777" w:rsid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6237"/>
        <w:gridCol w:w="2693"/>
      </w:tblGrid>
      <w:tr w:rsidR="008D0C86" w:rsidRPr="008D0C86" w14:paraId="7F937B7F" w14:textId="77777777" w:rsidTr="003A04A6">
        <w:trPr>
          <w:trHeight w:val="22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CC13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14:paraId="0CCBD843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4747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Предоставляемая информация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2678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Источник данных</w:t>
            </w:r>
          </w:p>
        </w:tc>
      </w:tr>
      <w:tr w:rsidR="008D0C86" w:rsidRPr="008D0C86" w14:paraId="061176BE" w14:textId="77777777" w:rsidTr="008D0C86">
        <w:tc>
          <w:tcPr>
            <w:tcW w:w="9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A6EB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I. Нормативные характеристики налоговых расходов муниципального округа</w:t>
            </w:r>
          </w:p>
        </w:tc>
      </w:tr>
      <w:tr w:rsidR="008D0C86" w:rsidRPr="008D0C86" w14:paraId="44D9EDA6" w14:textId="77777777" w:rsidTr="003A04A6">
        <w:trPr>
          <w:trHeight w:val="710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03AE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0DF1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Муниципальные правовые акты представительного органа муниципального округа,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2A754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6D07F1C6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D29E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E504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Условия предоставления налоговых льгот, освобождений и иных преференций для плательщиков налогов, установленные муниципальными правовыми актами представительного органа муниципального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C0C5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733EDCC6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1936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1632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2D05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40712DE4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8E77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E52DB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Дата начала действия налоговых льгот, освобождений и иных преференций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7D6A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65FA836C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A4A43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BC4A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Дата прекращения действия налоговых льгот, освобождений и иных преференций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3574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07B28F8D" w14:textId="77777777" w:rsidTr="008D0C86">
        <w:tc>
          <w:tcPr>
            <w:tcW w:w="9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AFBB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II. Целевые характеристики налоговых расходов муниципального округа</w:t>
            </w:r>
          </w:p>
        </w:tc>
      </w:tr>
      <w:tr w:rsidR="008D0C86" w:rsidRPr="008D0C86" w14:paraId="7234BA0A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B5F0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AE5A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7755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1EDA690B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FA61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590A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Целевая категория налогового расхода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D3F0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35B2DB9D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9015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3B3C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Цели предоставления налоговых льгот, освобождений и иных преференций для плательщиков налогов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D632F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3591A143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F233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B5209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Наименования налогов, по которым предусматриваются налоговые льготы, освобождения и иные преференции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165C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05FAEB67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5903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A17C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B9E9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2BFCB790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7409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37C9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14E8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4F45896B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ADA65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0851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Показатель (индикатор) достижения целей муниципальных программ муниципального округа и (или) целей социально-экономической политики муниципального округа, не относящихся к муниципальным программам муниципального округа, в связи с предоставлением налоговых льгот, освобождений и иных преференций по налогам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EB09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074EF58C" w14:textId="77777777" w:rsidTr="008D0C86">
        <w:trPr>
          <w:trHeight w:val="28"/>
        </w:trPr>
        <w:tc>
          <w:tcPr>
            <w:tcW w:w="9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9CD9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III. Фискальные характеристики налогового расхода муниципального округа</w:t>
            </w:r>
          </w:p>
        </w:tc>
      </w:tr>
      <w:tr w:rsidR="008D0C86" w:rsidRPr="008D0C86" w14:paraId="637CDAEF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9E9F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844C1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Объем налоговых льгот, освобождений и иных преференций, предоставленных для плательщиков налогов, в соответствии с муниципальными правовыми актами представительного органа муниципального округа за отчётный год и за год, предшествующий отчетному году (тыс. рублей)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77DA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Межрайонная ИФНС России № 22 по Челябинской области (по согласованию)</w:t>
            </w:r>
          </w:p>
        </w:tc>
      </w:tr>
      <w:tr w:rsidR="008D0C86" w:rsidRPr="008D0C86" w14:paraId="3A375AEC" w14:textId="77777777" w:rsidTr="003A04A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DCAA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376E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5059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  <w:tr w:rsidR="008D0C86" w:rsidRPr="008D0C86" w14:paraId="5C137D17" w14:textId="77777777" w:rsidTr="003A04A6">
        <w:trPr>
          <w:trHeight w:val="109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DB7C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1663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Численность плательщиков налогов, воспользовавшихся налоговой льготой, освобождением и иной преференцией (единиц)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B500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Межрайонная ИФНС России № 22 по Челябинской области (по согласованию)</w:t>
            </w:r>
          </w:p>
        </w:tc>
      </w:tr>
      <w:tr w:rsidR="008D0C86" w:rsidRPr="008D0C86" w14:paraId="56943BBC" w14:textId="77777777" w:rsidTr="003A04A6">
        <w:trPr>
          <w:trHeight w:val="539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CF1E" w14:textId="77777777" w:rsidR="008D0C86" w:rsidRPr="008D0C86" w:rsidRDefault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A417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Результат оценки эффективности налогового расхода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D94E" w14:textId="77777777" w:rsidR="008D0C86" w:rsidRPr="008D0C86" w:rsidRDefault="008D0C86" w:rsidP="008D0C86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0C86">
              <w:rPr>
                <w:rFonts w:ascii="Times New Roman" w:eastAsia="Calibri" w:hAnsi="Times New Roman" w:cs="Times New Roman"/>
                <w:sz w:val="26"/>
                <w:szCs w:val="26"/>
              </w:rPr>
              <w:t>куратор налогового расхода</w:t>
            </w:r>
          </w:p>
        </w:tc>
      </w:tr>
    </w:tbl>
    <w:p w14:paraId="0FC47032" w14:textId="77777777" w:rsidR="008D0C86" w:rsidRPr="008D0C86" w:rsidRDefault="008D0C86" w:rsidP="008D0C8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p w14:paraId="7E10D9EB" w14:textId="77777777" w:rsidR="008D0C86" w:rsidRPr="008D0C86" w:rsidRDefault="008D0C86" w:rsidP="008D0C86">
      <w:pPr>
        <w:spacing w:after="0" w:line="240" w:lineRule="auto"/>
        <w:ind w:firstLine="709"/>
        <w:contextualSpacing/>
        <w:outlineLvl w:val="0"/>
        <w:rPr>
          <w:rFonts w:ascii="Times New Roman" w:hAnsi="Times New Roman" w:cs="Times New Roman"/>
          <w:sz w:val="26"/>
          <w:szCs w:val="26"/>
        </w:rPr>
      </w:pPr>
    </w:p>
    <w:p w14:paraId="469EFB57" w14:textId="5C1D0867" w:rsidR="008D0C86" w:rsidRPr="008D0C86" w:rsidRDefault="008D0C86" w:rsidP="00823C1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0D8426A" w14:textId="6378C508" w:rsidR="008D0C86" w:rsidRPr="008D0C86" w:rsidRDefault="008D0C86" w:rsidP="00823C1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2BACA8" w14:textId="458B8053" w:rsidR="008D0C86" w:rsidRPr="008D0C86" w:rsidRDefault="008D0C86" w:rsidP="00823C1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3C6BB15" w14:textId="4A03E0AE" w:rsidR="008D0C86" w:rsidRPr="008D0C86" w:rsidRDefault="008D0C86" w:rsidP="00823C1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1CF5B11" w14:textId="5AE54536" w:rsidR="008D0C86" w:rsidRPr="008D0C86" w:rsidRDefault="008D0C86" w:rsidP="00823C1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89CFEA3" w14:textId="77777777" w:rsidR="008D0C86" w:rsidRPr="008D0C86" w:rsidRDefault="008D0C86" w:rsidP="00823C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D0C86" w:rsidRPr="008D0C86" w:rsidSect="00C160B5">
      <w:headerReference w:type="default" r:id="rId13"/>
      <w:pgSz w:w="11906" w:h="16838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76E98D" w14:textId="77777777" w:rsidR="006245CC" w:rsidRDefault="006245CC" w:rsidP="00823C19">
      <w:pPr>
        <w:spacing w:after="0" w:line="240" w:lineRule="auto"/>
      </w:pPr>
      <w:r>
        <w:separator/>
      </w:r>
    </w:p>
  </w:endnote>
  <w:endnote w:type="continuationSeparator" w:id="0">
    <w:p w14:paraId="1CF70CE2" w14:textId="77777777" w:rsidR="006245CC" w:rsidRDefault="006245CC" w:rsidP="00823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5F750A" w14:textId="77777777" w:rsidR="006245CC" w:rsidRDefault="006245CC" w:rsidP="00823C19">
      <w:pPr>
        <w:spacing w:after="0" w:line="240" w:lineRule="auto"/>
      </w:pPr>
      <w:r>
        <w:separator/>
      </w:r>
    </w:p>
  </w:footnote>
  <w:footnote w:type="continuationSeparator" w:id="0">
    <w:p w14:paraId="1085B2C5" w14:textId="77777777" w:rsidR="006245CC" w:rsidRDefault="006245CC" w:rsidP="00823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8"/>
        <w:szCs w:val="28"/>
      </w:rPr>
      <w:id w:val="826173136"/>
      <w:docPartObj>
        <w:docPartGallery w:val="Page Numbers (Top of Page)"/>
        <w:docPartUnique/>
      </w:docPartObj>
    </w:sdtPr>
    <w:sdtEndPr/>
    <w:sdtContent>
      <w:p w14:paraId="6088DB37" w14:textId="524ABF72" w:rsidR="00823C19" w:rsidRPr="00823C19" w:rsidRDefault="00823C1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23C1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3C1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3C1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68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23C1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D54"/>
    <w:rsid w:val="00010C9F"/>
    <w:rsid w:val="000235BF"/>
    <w:rsid w:val="0005156C"/>
    <w:rsid w:val="00054AF3"/>
    <w:rsid w:val="00057430"/>
    <w:rsid w:val="000761BF"/>
    <w:rsid w:val="000919EE"/>
    <w:rsid w:val="00096806"/>
    <w:rsid w:val="00096D54"/>
    <w:rsid w:val="000B06D3"/>
    <w:rsid w:val="000B7742"/>
    <w:rsid w:val="000D38FC"/>
    <w:rsid w:val="000D463B"/>
    <w:rsid w:val="000F1D92"/>
    <w:rsid w:val="000F2970"/>
    <w:rsid w:val="0010687C"/>
    <w:rsid w:val="00111D2A"/>
    <w:rsid w:val="00123793"/>
    <w:rsid w:val="001373B4"/>
    <w:rsid w:val="00161FFD"/>
    <w:rsid w:val="00180781"/>
    <w:rsid w:val="00192E75"/>
    <w:rsid w:val="001A1099"/>
    <w:rsid w:val="001A6478"/>
    <w:rsid w:val="001A7C83"/>
    <w:rsid w:val="001B3D21"/>
    <w:rsid w:val="0020425E"/>
    <w:rsid w:val="00211C60"/>
    <w:rsid w:val="00225B78"/>
    <w:rsid w:val="00236531"/>
    <w:rsid w:val="0024140C"/>
    <w:rsid w:val="00261AA1"/>
    <w:rsid w:val="00270D80"/>
    <w:rsid w:val="00272983"/>
    <w:rsid w:val="00275C1C"/>
    <w:rsid w:val="002C2D5D"/>
    <w:rsid w:val="002C41B8"/>
    <w:rsid w:val="002D277E"/>
    <w:rsid w:val="002E7A73"/>
    <w:rsid w:val="002F5A72"/>
    <w:rsid w:val="002F7490"/>
    <w:rsid w:val="00310E0F"/>
    <w:rsid w:val="00312448"/>
    <w:rsid w:val="00315358"/>
    <w:rsid w:val="003268C2"/>
    <w:rsid w:val="003335D2"/>
    <w:rsid w:val="00345521"/>
    <w:rsid w:val="003465AC"/>
    <w:rsid w:val="00346822"/>
    <w:rsid w:val="00373BA2"/>
    <w:rsid w:val="003A0001"/>
    <w:rsid w:val="003A04A6"/>
    <w:rsid w:val="003B6E43"/>
    <w:rsid w:val="003C150C"/>
    <w:rsid w:val="003C2792"/>
    <w:rsid w:val="003C6A4E"/>
    <w:rsid w:val="003D3599"/>
    <w:rsid w:val="003D3ED1"/>
    <w:rsid w:val="003D54D6"/>
    <w:rsid w:val="003D6F6A"/>
    <w:rsid w:val="003E33AA"/>
    <w:rsid w:val="003F56BB"/>
    <w:rsid w:val="00403932"/>
    <w:rsid w:val="00420DB0"/>
    <w:rsid w:val="00425B49"/>
    <w:rsid w:val="00463BB6"/>
    <w:rsid w:val="00467240"/>
    <w:rsid w:val="00471177"/>
    <w:rsid w:val="004A7136"/>
    <w:rsid w:val="004C5AA1"/>
    <w:rsid w:val="004D23EE"/>
    <w:rsid w:val="004D7FDE"/>
    <w:rsid w:val="004E04D7"/>
    <w:rsid w:val="004F4003"/>
    <w:rsid w:val="00525133"/>
    <w:rsid w:val="00550C21"/>
    <w:rsid w:val="00553E07"/>
    <w:rsid w:val="00581F39"/>
    <w:rsid w:val="005861F1"/>
    <w:rsid w:val="005863AE"/>
    <w:rsid w:val="005B6B82"/>
    <w:rsid w:val="005C340F"/>
    <w:rsid w:val="005E136E"/>
    <w:rsid w:val="005E380D"/>
    <w:rsid w:val="006213B7"/>
    <w:rsid w:val="006245CC"/>
    <w:rsid w:val="00636010"/>
    <w:rsid w:val="00642CAF"/>
    <w:rsid w:val="00651F3F"/>
    <w:rsid w:val="00653C9D"/>
    <w:rsid w:val="00662D1F"/>
    <w:rsid w:val="00667F6F"/>
    <w:rsid w:val="00675844"/>
    <w:rsid w:val="00682314"/>
    <w:rsid w:val="0069272F"/>
    <w:rsid w:val="006942F6"/>
    <w:rsid w:val="00697698"/>
    <w:rsid w:val="006C09F5"/>
    <w:rsid w:val="006D1D7F"/>
    <w:rsid w:val="006D286A"/>
    <w:rsid w:val="00711936"/>
    <w:rsid w:val="0072237F"/>
    <w:rsid w:val="0075238F"/>
    <w:rsid w:val="00773456"/>
    <w:rsid w:val="00793239"/>
    <w:rsid w:val="007B649F"/>
    <w:rsid w:val="007D6960"/>
    <w:rsid w:val="007E6620"/>
    <w:rsid w:val="007F0776"/>
    <w:rsid w:val="00823C19"/>
    <w:rsid w:val="00835136"/>
    <w:rsid w:val="00853266"/>
    <w:rsid w:val="00874564"/>
    <w:rsid w:val="008817AE"/>
    <w:rsid w:val="008B4755"/>
    <w:rsid w:val="008C11C9"/>
    <w:rsid w:val="008D0C86"/>
    <w:rsid w:val="00944C8C"/>
    <w:rsid w:val="009474EB"/>
    <w:rsid w:val="00950EDB"/>
    <w:rsid w:val="00952B93"/>
    <w:rsid w:val="009641E9"/>
    <w:rsid w:val="009D565B"/>
    <w:rsid w:val="009F1D9D"/>
    <w:rsid w:val="009F6C21"/>
    <w:rsid w:val="00A03AEA"/>
    <w:rsid w:val="00A21D9B"/>
    <w:rsid w:val="00A31A81"/>
    <w:rsid w:val="00A50443"/>
    <w:rsid w:val="00A53290"/>
    <w:rsid w:val="00A55AFB"/>
    <w:rsid w:val="00A61DAC"/>
    <w:rsid w:val="00A645CF"/>
    <w:rsid w:val="00A77A6A"/>
    <w:rsid w:val="00A937A8"/>
    <w:rsid w:val="00A95718"/>
    <w:rsid w:val="00AB2355"/>
    <w:rsid w:val="00AC04B8"/>
    <w:rsid w:val="00AD2759"/>
    <w:rsid w:val="00AD306A"/>
    <w:rsid w:val="00AF0B39"/>
    <w:rsid w:val="00AF3E94"/>
    <w:rsid w:val="00B009F6"/>
    <w:rsid w:val="00B01873"/>
    <w:rsid w:val="00B03777"/>
    <w:rsid w:val="00B157C6"/>
    <w:rsid w:val="00B17376"/>
    <w:rsid w:val="00B2077F"/>
    <w:rsid w:val="00B2168F"/>
    <w:rsid w:val="00B30F0E"/>
    <w:rsid w:val="00B43776"/>
    <w:rsid w:val="00B446C7"/>
    <w:rsid w:val="00B55CAC"/>
    <w:rsid w:val="00B84150"/>
    <w:rsid w:val="00B933BE"/>
    <w:rsid w:val="00B95902"/>
    <w:rsid w:val="00BA3A91"/>
    <w:rsid w:val="00BE14F5"/>
    <w:rsid w:val="00C02D0C"/>
    <w:rsid w:val="00C050F6"/>
    <w:rsid w:val="00C05DC9"/>
    <w:rsid w:val="00C14764"/>
    <w:rsid w:val="00C14DA6"/>
    <w:rsid w:val="00C160B5"/>
    <w:rsid w:val="00C30A7C"/>
    <w:rsid w:val="00C87C3D"/>
    <w:rsid w:val="00C95F22"/>
    <w:rsid w:val="00CA0D8E"/>
    <w:rsid w:val="00CA3B66"/>
    <w:rsid w:val="00CD3769"/>
    <w:rsid w:val="00CD5985"/>
    <w:rsid w:val="00CE0BF8"/>
    <w:rsid w:val="00CE4D7C"/>
    <w:rsid w:val="00CF7740"/>
    <w:rsid w:val="00D0096B"/>
    <w:rsid w:val="00D03034"/>
    <w:rsid w:val="00D0304F"/>
    <w:rsid w:val="00D056AE"/>
    <w:rsid w:val="00D13280"/>
    <w:rsid w:val="00D15438"/>
    <w:rsid w:val="00D21635"/>
    <w:rsid w:val="00D33182"/>
    <w:rsid w:val="00D5025C"/>
    <w:rsid w:val="00D65DB0"/>
    <w:rsid w:val="00D70FC0"/>
    <w:rsid w:val="00D74E9B"/>
    <w:rsid w:val="00D80197"/>
    <w:rsid w:val="00D815A7"/>
    <w:rsid w:val="00D86479"/>
    <w:rsid w:val="00D90CBC"/>
    <w:rsid w:val="00DC348B"/>
    <w:rsid w:val="00DC4C58"/>
    <w:rsid w:val="00DD4C7E"/>
    <w:rsid w:val="00DF0F23"/>
    <w:rsid w:val="00DF110B"/>
    <w:rsid w:val="00E12C92"/>
    <w:rsid w:val="00E41579"/>
    <w:rsid w:val="00E51D14"/>
    <w:rsid w:val="00E915B9"/>
    <w:rsid w:val="00E96F92"/>
    <w:rsid w:val="00EA166C"/>
    <w:rsid w:val="00EA38F6"/>
    <w:rsid w:val="00EB4AB5"/>
    <w:rsid w:val="00EB5652"/>
    <w:rsid w:val="00ED25BC"/>
    <w:rsid w:val="00ED7B69"/>
    <w:rsid w:val="00EE5D77"/>
    <w:rsid w:val="00EE68F2"/>
    <w:rsid w:val="00EF390D"/>
    <w:rsid w:val="00F021F4"/>
    <w:rsid w:val="00F059D0"/>
    <w:rsid w:val="00F37211"/>
    <w:rsid w:val="00F61637"/>
    <w:rsid w:val="00F65E0F"/>
    <w:rsid w:val="00F703F8"/>
    <w:rsid w:val="00F817FD"/>
    <w:rsid w:val="00FD3856"/>
    <w:rsid w:val="00FE3435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ECCE4"/>
  <w15:docId w15:val="{ABE4FD18-910A-4CB6-8749-F47FFAED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3BB6"/>
    <w:rPr>
      <w:rFonts w:ascii="Segoe UI" w:hAnsi="Segoe UI" w:cs="Segoe UI"/>
      <w:sz w:val="18"/>
      <w:szCs w:val="18"/>
    </w:rPr>
  </w:style>
  <w:style w:type="paragraph" w:customStyle="1" w:styleId="s3">
    <w:name w:val="s_3"/>
    <w:basedOn w:val="a"/>
    <w:rsid w:val="00E51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51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51D14"/>
    <w:rPr>
      <w:color w:val="0000FF"/>
      <w:u w:val="single"/>
    </w:rPr>
  </w:style>
  <w:style w:type="character" w:styleId="a6">
    <w:name w:val="Emphasis"/>
    <w:basedOn w:val="a0"/>
    <w:uiPriority w:val="20"/>
    <w:qFormat/>
    <w:rsid w:val="000F2970"/>
    <w:rPr>
      <w:i/>
      <w:iCs/>
    </w:rPr>
  </w:style>
  <w:style w:type="paragraph" w:customStyle="1" w:styleId="s22">
    <w:name w:val="s_22"/>
    <w:basedOn w:val="a"/>
    <w:rsid w:val="004E0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23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3C19"/>
  </w:style>
  <w:style w:type="paragraph" w:styleId="a9">
    <w:name w:val="footer"/>
    <w:basedOn w:val="a"/>
    <w:link w:val="aa"/>
    <w:uiPriority w:val="99"/>
    <w:unhideWhenUsed/>
    <w:rsid w:val="00823C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3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5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3861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8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153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3BC2B8E573E469A8FD627C96FDE06822D08B2DC127EA4224FB268CB656D357EEC1D51AFD395607D77ABFAF649079B271634CDA1572227c2p5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B3BC2B8E573E469A8FD627C96FDE06822D08BFD0127EA4224FB268CB656D357EEC1D54A8D59C68292DBBFEBF1D0C84210B2ACCBF57c2p2G" TargetMode="External"/><Relationship Id="rId12" Type="http://schemas.openxmlformats.org/officeDocument/2006/relationships/hyperlink" Target="file:///\\192.168.0.222\Share\&#1050;&#1072;&#1085;&#1094;&#1077;&#1083;&#1103;&#1088;&#1080;&#1103;%20&#1085;&#1072;%20&#1087;&#1077;&#1095;&#1072;&#1090;&#1100;\&#1057;&#1099;&#1088;&#1082;&#1080;&#1085;&#1072;%20&#1054;.&#1042;\&#1055;&#1086;&#1089;&#1090;&#1072;&#1085;&#1086;&#1074;&#1083;&#1077;&#1085;&#1080;&#1077;%20%20&#1055;&#1086;&#1088;&#1103;&#1076;&#1086;&#1082;%20&#1087;&#1086;%20&#1085;&#1072;&#1083;&#1086;&#1075;&#1086;&#1074;&#1099;&#1084;%20&#1088;&#1072;&#1089;&#1093;&#1086;&#1076;&#1072;&#1084;&#8212;%202026%20&#1075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B3BC2B8E573E469A8FD627C96FDE06822D08B2DC127EA4224FB268CB656D357EEC1D51AFD395607D77ABFAF649079B271634CDA1572227c2p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B3BC2B8E573E469A8FD627C96FDE06822D08BFD0127EA4224FB268CB656D357EEC1D54A8D59C68292DBBFEBF1D0C84210B2ACCBF57c2p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1C659-9D9A-436D-81A7-0D702DB2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Якушина</cp:lastModifiedBy>
  <cp:revision>153</cp:revision>
  <cp:lastPrinted>2026-08-27T08:35:00Z</cp:lastPrinted>
  <dcterms:created xsi:type="dcterms:W3CDTF">2020-03-16T06:41:00Z</dcterms:created>
  <dcterms:modified xsi:type="dcterms:W3CDTF">2026-08-31T06:11:00Z</dcterms:modified>
</cp:coreProperties>
</file>